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B76BDB">
        <w:rPr>
          <w:rFonts w:ascii="Arial" w:hAnsi="Arial" w:cs="Arial"/>
          <w:b/>
          <w:szCs w:val="24"/>
        </w:rPr>
        <w:t>Dec</w:t>
      </w:r>
      <w:r w:rsidR="001965E0">
        <w:rPr>
          <w:rFonts w:ascii="Arial" w:hAnsi="Arial" w:cs="Arial"/>
          <w:b/>
          <w:szCs w:val="24"/>
        </w:rPr>
        <w:t xml:space="preserve">ember </w:t>
      </w:r>
      <w:r w:rsidR="00B76BDB">
        <w:rPr>
          <w:rFonts w:ascii="Arial" w:hAnsi="Arial" w:cs="Arial"/>
          <w:b/>
          <w:szCs w:val="24"/>
        </w:rPr>
        <w:t>14</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EA1D06" w:rsidRPr="009E3BE9" w:rsidRDefault="00EA1D06" w:rsidP="000C5A79">
      <w:pPr>
        <w:tabs>
          <w:tab w:val="left" w:pos="360"/>
          <w:tab w:val="left" w:pos="720"/>
        </w:tabs>
        <w:rPr>
          <w:rFonts w:ascii="Arial" w:hAnsi="Arial" w:cs="Arial"/>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B76BDB">
        <w:rPr>
          <w:rFonts w:ascii="Arial" w:hAnsi="Arial" w:cs="Arial"/>
          <w:b/>
          <w:bCs/>
        </w:rPr>
        <w:t>Novem</w:t>
      </w:r>
      <w:r w:rsidR="00BC1883">
        <w:rPr>
          <w:rFonts w:ascii="Arial" w:hAnsi="Arial" w:cs="Arial"/>
          <w:b/>
          <w:bCs/>
        </w:rPr>
        <w:t xml:space="preserve">ber </w:t>
      </w:r>
      <w:r w:rsidR="00B76BDB">
        <w:rPr>
          <w:rFonts w:ascii="Arial" w:hAnsi="Arial" w:cs="Arial"/>
          <w:b/>
          <w:bCs/>
        </w:rPr>
        <w:t>9</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5E0CFB" w:rsidRPr="003931F4">
        <w:rPr>
          <w:rFonts w:ascii="Arial" w:hAnsi="Arial" w:cs="Arial"/>
          <w:b/>
          <w:bCs/>
        </w:rPr>
        <w:t>2</w:t>
      </w:r>
      <w:r w:rsidRPr="003931F4">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3931F4" w:rsidRPr="003931F4" w:rsidRDefault="003931F4" w:rsidP="003931F4">
      <w:pPr>
        <w:tabs>
          <w:tab w:val="left" w:pos="360"/>
          <w:tab w:val="left" w:pos="720"/>
        </w:tabs>
        <w:ind w:left="720"/>
        <w:rPr>
          <w:rFonts w:ascii="Arial" w:hAnsi="Arial" w:cs="Arial"/>
        </w:rPr>
      </w:pPr>
    </w:p>
    <w:p w:rsidR="00B76BDB" w:rsidRDefault="00B76BDB" w:rsidP="000E282B">
      <w:pPr>
        <w:numPr>
          <w:ilvl w:val="0"/>
          <w:numId w:val="1"/>
        </w:numPr>
        <w:spacing w:after="60"/>
        <w:ind w:left="360"/>
        <w:rPr>
          <w:rFonts w:ascii="Arial" w:hAnsi="Arial" w:cs="Arial"/>
          <w:b/>
          <w:bCs/>
          <w:szCs w:val="24"/>
        </w:rPr>
      </w:pPr>
      <w:r>
        <w:rPr>
          <w:rFonts w:ascii="Arial" w:hAnsi="Arial" w:cs="Arial"/>
          <w:b/>
          <w:bCs/>
          <w:szCs w:val="24"/>
        </w:rPr>
        <w:t xml:space="preserve">Public Hearing </w:t>
      </w:r>
    </w:p>
    <w:p w:rsidR="00B76BDB" w:rsidRDefault="00B76BDB" w:rsidP="00B76BDB">
      <w:pPr>
        <w:pStyle w:val="ListParagraph"/>
        <w:rPr>
          <w:rFonts w:ascii="Arial" w:hAnsi="Arial" w:cs="Arial"/>
          <w:bCs/>
          <w:szCs w:val="24"/>
        </w:rPr>
      </w:pPr>
      <w:r>
        <w:rPr>
          <w:rFonts w:ascii="Arial" w:hAnsi="Arial" w:cs="Arial"/>
          <w:b/>
          <w:bCs/>
          <w:szCs w:val="24"/>
        </w:rPr>
        <w:t xml:space="preserve">Case #15-2022, 418 E. Argonne Drive </w:t>
      </w:r>
      <w:r>
        <w:rPr>
          <w:rFonts w:ascii="Arial" w:hAnsi="Arial" w:cs="Arial"/>
          <w:bCs/>
          <w:szCs w:val="24"/>
        </w:rPr>
        <w:t>(Jefferson-Argonne Historic District) – Demolition of house</w:t>
      </w:r>
    </w:p>
    <w:p w:rsidR="00B76BDB" w:rsidRDefault="00B76BDB" w:rsidP="00B76BDB">
      <w:pPr>
        <w:pStyle w:val="ListParagraph"/>
        <w:rPr>
          <w:rFonts w:ascii="Arial" w:hAnsi="Arial" w:cs="Arial"/>
          <w:b/>
          <w:bCs/>
          <w:szCs w:val="24"/>
        </w:rPr>
      </w:pPr>
    </w:p>
    <w:p w:rsidR="000A00D6" w:rsidRDefault="000A00D6" w:rsidP="000E282B">
      <w:pPr>
        <w:numPr>
          <w:ilvl w:val="0"/>
          <w:numId w:val="1"/>
        </w:numPr>
        <w:spacing w:after="60"/>
        <w:ind w:left="360"/>
        <w:rPr>
          <w:rFonts w:ascii="Arial" w:hAnsi="Arial" w:cs="Arial"/>
          <w:b/>
          <w:bCs/>
          <w:szCs w:val="24"/>
        </w:rPr>
      </w:pPr>
      <w:r w:rsidRPr="003931F4">
        <w:rPr>
          <w:rFonts w:ascii="Arial" w:hAnsi="Arial" w:cs="Arial"/>
          <w:b/>
          <w:bCs/>
          <w:szCs w:val="24"/>
        </w:rPr>
        <w:t>Certificates of Appropriateness – Unfinished Business</w:t>
      </w:r>
    </w:p>
    <w:p w:rsidR="00BD27DC" w:rsidRDefault="00BD27DC" w:rsidP="00BD27DC">
      <w:pPr>
        <w:pStyle w:val="ListParagraph"/>
        <w:numPr>
          <w:ilvl w:val="1"/>
          <w:numId w:val="1"/>
        </w:numPr>
        <w:spacing w:after="60"/>
        <w:ind w:left="720"/>
        <w:rPr>
          <w:rFonts w:ascii="Arial" w:hAnsi="Arial" w:cs="Arial"/>
          <w:bCs/>
          <w:szCs w:val="24"/>
        </w:rPr>
      </w:pPr>
      <w:r>
        <w:rPr>
          <w:rFonts w:ascii="Arial" w:hAnsi="Arial" w:cs="Arial"/>
          <w:b/>
          <w:bCs/>
          <w:szCs w:val="24"/>
        </w:rPr>
        <w:t>Case #21-2021, 411 E.</w:t>
      </w:r>
      <w:r w:rsidRPr="00890246">
        <w:rPr>
          <w:rFonts w:ascii="Arial" w:hAnsi="Arial" w:cs="Arial"/>
          <w:b/>
          <w:bCs/>
          <w:szCs w:val="24"/>
        </w:rPr>
        <w:t xml:space="preserve"> Argonne Drive</w:t>
      </w:r>
      <w:r>
        <w:rPr>
          <w:rFonts w:ascii="Arial" w:hAnsi="Arial" w:cs="Arial"/>
          <w:bCs/>
          <w:szCs w:val="24"/>
        </w:rPr>
        <w:t xml:space="preserve"> (Jefferson-Argonne Historic District) – new house (270-period of review on demolition expired January 30, 2022)</w:t>
      </w:r>
    </w:p>
    <w:p w:rsidR="00703DE9" w:rsidRPr="00CE7EEC" w:rsidRDefault="00703DE9" w:rsidP="00703DE9">
      <w:pPr>
        <w:pStyle w:val="ListParagraph"/>
        <w:numPr>
          <w:ilvl w:val="1"/>
          <w:numId w:val="1"/>
        </w:numPr>
        <w:tabs>
          <w:tab w:val="left" w:pos="1080"/>
        </w:tabs>
        <w:spacing w:after="60"/>
        <w:ind w:left="720"/>
        <w:rPr>
          <w:rFonts w:ascii="Arial" w:hAnsi="Arial" w:cs="Arial"/>
          <w:bCs/>
          <w:szCs w:val="24"/>
        </w:rPr>
      </w:pPr>
      <w:r w:rsidRPr="00CE7EEC">
        <w:rPr>
          <w:rFonts w:ascii="Arial" w:hAnsi="Arial" w:cs="Arial"/>
          <w:b/>
          <w:bCs/>
          <w:szCs w:val="24"/>
        </w:rPr>
        <w:t>Case #10-2022, 760 N. Taylor Avenue</w:t>
      </w:r>
      <w:r w:rsidRPr="00CE7EEC">
        <w:rPr>
          <w:rFonts w:ascii="Arial" w:hAnsi="Arial" w:cs="Arial"/>
          <w:bCs/>
          <w:szCs w:val="24"/>
        </w:rPr>
        <w:t xml:space="preserve"> (North Taylor Historic District) – new house on vacant lot</w:t>
      </w:r>
      <w:r>
        <w:rPr>
          <w:rFonts w:ascii="Arial" w:hAnsi="Arial" w:cs="Arial"/>
          <w:bCs/>
          <w:szCs w:val="24"/>
        </w:rPr>
        <w:t xml:space="preserve"> – changes from ARB review</w:t>
      </w:r>
    </w:p>
    <w:p w:rsidR="000422CE" w:rsidRDefault="000422CE" w:rsidP="000422CE">
      <w:pPr>
        <w:spacing w:after="60"/>
        <w:ind w:left="720"/>
        <w:rPr>
          <w:rFonts w:ascii="Arial" w:hAnsi="Arial" w:cs="Arial"/>
          <w:b/>
          <w:bCs/>
          <w:szCs w:val="24"/>
        </w:rPr>
      </w:pPr>
    </w:p>
    <w:p w:rsidR="000422CE" w:rsidRDefault="000422CE" w:rsidP="000E282B">
      <w:pPr>
        <w:numPr>
          <w:ilvl w:val="0"/>
          <w:numId w:val="1"/>
        </w:numPr>
        <w:spacing w:after="60"/>
        <w:ind w:left="27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DB182C" w:rsidRPr="00703DE9" w:rsidRDefault="00703DE9" w:rsidP="00703DE9">
      <w:pPr>
        <w:pStyle w:val="ListParagraph"/>
        <w:numPr>
          <w:ilvl w:val="1"/>
          <w:numId w:val="1"/>
        </w:numPr>
        <w:tabs>
          <w:tab w:val="left" w:pos="720"/>
        </w:tabs>
        <w:spacing w:after="60"/>
        <w:ind w:left="720"/>
        <w:rPr>
          <w:rFonts w:ascii="Arial" w:hAnsi="Arial" w:cs="Arial"/>
          <w:bCs/>
          <w:szCs w:val="24"/>
        </w:rPr>
      </w:pPr>
      <w:r w:rsidRPr="007D1BA4">
        <w:rPr>
          <w:rFonts w:ascii="Arial" w:hAnsi="Arial" w:cs="Arial"/>
          <w:b/>
          <w:bCs/>
          <w:szCs w:val="24"/>
        </w:rPr>
        <w:t>Case #</w:t>
      </w:r>
      <w:r>
        <w:rPr>
          <w:rFonts w:ascii="Arial" w:hAnsi="Arial" w:cs="Arial"/>
          <w:b/>
          <w:bCs/>
          <w:szCs w:val="24"/>
        </w:rPr>
        <w:t>16</w:t>
      </w:r>
      <w:r w:rsidRPr="007D1BA4">
        <w:rPr>
          <w:rFonts w:ascii="Arial" w:hAnsi="Arial" w:cs="Arial"/>
          <w:b/>
          <w:bCs/>
          <w:szCs w:val="24"/>
        </w:rPr>
        <w:t xml:space="preserve">-2021, </w:t>
      </w:r>
      <w:r>
        <w:rPr>
          <w:rFonts w:ascii="Arial" w:hAnsi="Arial" w:cs="Arial"/>
          <w:b/>
          <w:bCs/>
          <w:szCs w:val="24"/>
        </w:rPr>
        <w:t>36 Ponca Trail</w:t>
      </w:r>
      <w:r>
        <w:rPr>
          <w:rFonts w:ascii="Arial" w:hAnsi="Arial" w:cs="Arial"/>
          <w:bCs/>
          <w:szCs w:val="24"/>
        </w:rPr>
        <w:t xml:space="preserve"> (Meramec Highlands Historic District) – new house</w:t>
      </w:r>
      <w:r w:rsidR="00856E61">
        <w:rPr>
          <w:rFonts w:ascii="Arial" w:hAnsi="Arial" w:cs="Arial"/>
          <w:bCs/>
          <w:szCs w:val="24"/>
        </w:rPr>
        <w:t xml:space="preserve"> </w:t>
      </w:r>
      <w:r w:rsidR="00856E61" w:rsidRPr="00CE7EEC">
        <w:rPr>
          <w:rFonts w:ascii="Arial" w:hAnsi="Arial" w:cs="Arial"/>
          <w:bCs/>
          <w:szCs w:val="24"/>
        </w:rPr>
        <w:t>on vacant lot</w:t>
      </w:r>
      <w:bookmarkStart w:id="0" w:name="_GoBack"/>
      <w:bookmarkEnd w:id="0"/>
    </w:p>
    <w:p w:rsidR="00DB182C" w:rsidRPr="00DB182C" w:rsidRDefault="00DB182C" w:rsidP="00DB182C">
      <w:pPr>
        <w:spacing w:after="60"/>
        <w:ind w:left="720"/>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AC0C43" w:rsidRPr="000E282B" w:rsidRDefault="00BD2C5F" w:rsidP="000E282B">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0E282B">
      <w:pPr>
        <w:numPr>
          <w:ilvl w:val="0"/>
          <w:numId w:val="1"/>
        </w:numPr>
        <w:spacing w:after="120"/>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EA1D06">
      <w:pPr>
        <w:jc w:val="both"/>
        <w:rPr>
          <w:rFonts w:ascii="Arial" w:hAnsi="Arial" w:cs="Arial"/>
          <w:bCs/>
          <w:szCs w:val="24"/>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82165C" w:rsidRDefault="00F022BA" w:rsidP="00EA1D06">
      <w:pPr>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DA" w:rsidRDefault="00071BDA">
      <w:r>
        <w:separator/>
      </w:r>
    </w:p>
  </w:endnote>
  <w:endnote w:type="continuationSeparator" w:id="0">
    <w:p w:rsidR="00071BDA" w:rsidRDefault="0007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DA" w:rsidRDefault="00071BDA">
      <w:r>
        <w:separator/>
      </w:r>
    </w:p>
  </w:footnote>
  <w:footnote w:type="continuationSeparator" w:id="0">
    <w:p w:rsidR="00071BDA" w:rsidRDefault="00071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034389F8"/>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48D9-14C5-4FA1-AB43-CF47B1A2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251</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1775</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5</cp:revision>
  <cp:lastPrinted>2022-10-11T17:48:00Z</cp:lastPrinted>
  <dcterms:created xsi:type="dcterms:W3CDTF">2022-12-09T15:17:00Z</dcterms:created>
  <dcterms:modified xsi:type="dcterms:W3CDTF">2022-12-09T20:25:00Z</dcterms:modified>
</cp:coreProperties>
</file>